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 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83"/>
        <w:gridCol w:w="1049"/>
        <w:gridCol w:w="848"/>
        <w:gridCol w:w="279"/>
        <w:gridCol w:w="284"/>
        <w:gridCol w:w="420"/>
        <w:gridCol w:w="326"/>
        <w:gridCol w:w="520"/>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幼儿保育专业综合实训基地</w:t>
            </w:r>
          </w:p>
        </w:tc>
      </w:tr>
      <w:tr>
        <w:tblPrEx>
          <w:tblCellMar>
            <w:top w:w="0" w:type="dxa"/>
            <w:left w:w="108" w:type="dxa"/>
            <w:bottom w:w="0" w:type="dxa"/>
            <w:right w:w="108" w:type="dxa"/>
          </w:tblCellMar>
        </w:tblPrEx>
        <w:trPr>
          <w:trHeight w:val="7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北京一商集团有限责任公司</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北京市商业学校（北京祥龙资产经营有限责任公司党校）</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刘相俊</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13701180958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982"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134.290508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133.640608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133.640608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134.290508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133.640608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133.640608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23"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32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 w:hAnsi="仿宋" w:eastAsia="仿宋" w:cs="仿宋"/>
                <w:kern w:val="0"/>
                <w:szCs w:val="21"/>
              </w:rPr>
              <w:t>幼儿保育专业综合实训基地面向重大民生领域和首都高品质教育需求，为培养高质量幼儿园保教师资提供有力保障，通过升级改造场地条件，构建真实的工作场景，实现上课如上岗、上学如上班的效果；通过购置幼儿保育、卫生保健、感觉统合及智能保育设备设施，实现基于工作过程系统化的课程实施，构建以学习者为中心的实践教学和技能实训课堂；通过建设幼儿生活照护、卫生与保健、早期学习支持等虚拟仿真资源，实现数字化专业升级改造，满足在校学生学习需求和托幼园所在职人员的培训需求，提升在校生满意度、用人单位对毕业生的满意度和培训人员满意度，为北京市输送师德高尚、文化扎实、技能过硬、素养突出的全面发展的应用型保教人才。</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 w:hAnsi="仿宋" w:eastAsia="仿宋" w:cs="仿宋"/>
                <w:kern w:val="0"/>
                <w:szCs w:val="21"/>
              </w:rPr>
              <w:t>完成各项预期目标，并在提供工位数量和学生培养数量中超额完成目标</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9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0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2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8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9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提供工位数量</w:t>
            </w:r>
          </w:p>
        </w:tc>
        <w:tc>
          <w:tcPr>
            <w:tcW w:w="10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≥30个</w:t>
            </w:r>
          </w:p>
        </w:tc>
        <w:tc>
          <w:tcPr>
            <w:tcW w:w="84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36个</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74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5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实训课程资源</w:t>
            </w:r>
          </w:p>
        </w:tc>
        <w:tc>
          <w:tcPr>
            <w:tcW w:w="10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≥150</w:t>
            </w:r>
            <w:r>
              <w:rPr>
                <w:rFonts w:hint="eastAsia" w:ascii="仿宋_GB2312" w:hAnsi="宋体" w:eastAsia="仿宋_GB2312" w:cs="宋体"/>
                <w:color w:val="000000"/>
                <w:kern w:val="0"/>
                <w:szCs w:val="21"/>
                <w:lang w:val="en-US" w:eastAsia="zh-CN"/>
              </w:rPr>
              <w:t>个</w:t>
            </w:r>
          </w:p>
        </w:tc>
        <w:tc>
          <w:tcPr>
            <w:tcW w:w="84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150个</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74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5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学生培养</w:t>
            </w:r>
          </w:p>
        </w:tc>
        <w:tc>
          <w:tcPr>
            <w:tcW w:w="10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≥120人</w:t>
            </w:r>
          </w:p>
        </w:tc>
        <w:tc>
          <w:tcPr>
            <w:tcW w:w="84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150人</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74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7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提供实训场地面积</w:t>
            </w:r>
          </w:p>
        </w:tc>
        <w:tc>
          <w:tcPr>
            <w:tcW w:w="10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w:t>
            </w:r>
            <w:r>
              <w:rPr>
                <w:rFonts w:hint="eastAsia" w:ascii="仿宋_GB2312" w:hAnsi="宋体" w:eastAsia="仿宋_GB2312" w:cs="宋体"/>
                <w:color w:val="000000"/>
                <w:kern w:val="0"/>
                <w:szCs w:val="21"/>
              </w:rPr>
              <w:t>140</w:t>
            </w:r>
            <w:r>
              <w:rPr>
                <w:rFonts w:hint="eastAsia" w:ascii="仿宋_GB2312" w:hAnsi="宋体" w:eastAsia="仿宋_GB2312" w:cs="宋体"/>
                <w:color w:val="000000"/>
                <w:kern w:val="0"/>
                <w:szCs w:val="21"/>
                <w:lang w:val="en-US" w:eastAsia="zh-CN"/>
              </w:rPr>
              <w:t>平米</w:t>
            </w:r>
          </w:p>
        </w:tc>
        <w:tc>
          <w:tcPr>
            <w:tcW w:w="84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140</w:t>
            </w:r>
            <w:r>
              <w:rPr>
                <w:rFonts w:hint="eastAsia" w:ascii="仿宋_GB2312" w:hAnsi="宋体" w:eastAsia="仿宋_GB2312" w:cs="宋体"/>
                <w:color w:val="000000"/>
                <w:kern w:val="0"/>
                <w:szCs w:val="21"/>
                <w:lang w:val="en-US" w:eastAsia="zh-CN"/>
              </w:rPr>
              <w:t>平米</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74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8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提供专业教学及实训设备</w:t>
            </w:r>
          </w:p>
        </w:tc>
        <w:tc>
          <w:tcPr>
            <w:tcW w:w="10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≥30套</w:t>
            </w:r>
          </w:p>
        </w:tc>
        <w:tc>
          <w:tcPr>
            <w:tcW w:w="84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30套</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74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6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9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项目验收合格率</w:t>
            </w:r>
          </w:p>
        </w:tc>
        <w:tc>
          <w:tcPr>
            <w:tcW w:w="10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≥98%</w:t>
            </w:r>
          </w:p>
        </w:tc>
        <w:tc>
          <w:tcPr>
            <w:tcW w:w="84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74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6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系统正常运行率</w:t>
            </w:r>
          </w:p>
        </w:tc>
        <w:tc>
          <w:tcPr>
            <w:tcW w:w="10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≥98%</w:t>
            </w:r>
          </w:p>
        </w:tc>
        <w:tc>
          <w:tcPr>
            <w:tcW w:w="84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74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0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0" w:name="_GoBack" w:colFirst="3" w:colLast="5"/>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经济成本指标</w:t>
            </w:r>
          </w:p>
        </w:tc>
        <w:tc>
          <w:tcPr>
            <w:tcW w:w="1937" w:type="dxa"/>
            <w:gridSpan w:val="3"/>
            <w:tcBorders>
              <w:top w:val="single" w:color="auto" w:sz="4" w:space="0"/>
              <w:left w:val="nil"/>
              <w:right w:val="single" w:color="auto" w:sz="4" w:space="0"/>
            </w:tcBorders>
            <w:vAlign w:val="center"/>
          </w:tcPr>
          <w:p>
            <w:pPr>
              <w:widowControl/>
              <w:jc w:val="center"/>
              <w:textAlignment w:val="center"/>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预算控制价</w:t>
            </w:r>
          </w:p>
        </w:tc>
        <w:tc>
          <w:tcPr>
            <w:tcW w:w="1049" w:type="dxa"/>
            <w:tcBorders>
              <w:top w:val="single" w:color="auto" w:sz="4" w:space="0"/>
              <w:left w:val="nil"/>
              <w:right w:val="single" w:color="auto" w:sz="4" w:space="0"/>
            </w:tcBorders>
            <w:vAlign w:val="center"/>
          </w:tcPr>
          <w:p>
            <w:pPr>
              <w:widowControl/>
              <w:jc w:val="center"/>
              <w:textAlignment w:val="center"/>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≤134.290508万元</w:t>
            </w:r>
          </w:p>
        </w:tc>
        <w:tc>
          <w:tcPr>
            <w:tcW w:w="848" w:type="dxa"/>
            <w:tcBorders>
              <w:top w:val="single" w:color="auto" w:sz="4" w:space="0"/>
              <w:left w:val="nil"/>
              <w:right w:val="single" w:color="auto" w:sz="4" w:space="0"/>
            </w:tcBorders>
            <w:vAlign w:val="center"/>
          </w:tcPr>
          <w:p>
            <w:pPr>
              <w:widowControl/>
              <w:jc w:val="center"/>
              <w:textAlignment w:val="center"/>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133.640608万元</w:t>
            </w:r>
          </w:p>
        </w:tc>
        <w:tc>
          <w:tcPr>
            <w:tcW w:w="563" w:type="dxa"/>
            <w:gridSpan w:val="2"/>
            <w:tcBorders>
              <w:top w:val="single" w:color="auto" w:sz="4" w:space="0"/>
              <w:left w:val="nil"/>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746" w:type="dxa"/>
            <w:gridSpan w:val="2"/>
            <w:tcBorders>
              <w:top w:val="single" w:color="auto" w:sz="4" w:space="0"/>
              <w:left w:val="nil"/>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p>
        </w:tc>
      </w:tr>
      <w:bookmarkEnd w:id="0"/>
      <w:tr>
        <w:tblPrEx>
          <w:tblCellMar>
            <w:top w:w="0" w:type="dxa"/>
            <w:left w:w="108" w:type="dxa"/>
            <w:bottom w:w="0" w:type="dxa"/>
            <w:right w:w="108" w:type="dxa"/>
          </w:tblCellMar>
        </w:tblPrEx>
        <w:trPr>
          <w:trHeight w:val="7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9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提升幼儿保育专业办学质量</w:t>
            </w:r>
          </w:p>
        </w:tc>
        <w:tc>
          <w:tcPr>
            <w:tcW w:w="10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84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74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20</w:t>
            </w:r>
            <w:r>
              <w:rPr>
                <w:rFonts w:hint="eastAsia" w:ascii="仿宋_GB2312" w:hAnsi="宋体" w:eastAsia="仿宋_GB2312" w:cs="宋体"/>
                <w:color w:val="000000"/>
                <w:kern w:val="0"/>
                <w:szCs w:val="21"/>
                <w:lang w:val="en-US" w:eastAsia="zh-CN"/>
              </w:rPr>
              <w:t xml:space="preserve">                      </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6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9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使用年限</w:t>
            </w:r>
          </w:p>
        </w:tc>
        <w:tc>
          <w:tcPr>
            <w:tcW w:w="10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≥10年</w:t>
            </w:r>
          </w:p>
        </w:tc>
        <w:tc>
          <w:tcPr>
            <w:tcW w:w="84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10年</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74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0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9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学生满意度</w:t>
            </w:r>
          </w:p>
        </w:tc>
        <w:tc>
          <w:tcPr>
            <w:tcW w:w="10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98.4%</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74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230"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 xml:space="preserve">100 </w:t>
            </w:r>
          </w:p>
        </w:tc>
        <w:tc>
          <w:tcPr>
            <w:tcW w:w="12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368EC"/>
    <w:rsid w:val="005514F7"/>
    <w:rsid w:val="00595059"/>
    <w:rsid w:val="00621416"/>
    <w:rsid w:val="00880C21"/>
    <w:rsid w:val="00896E4B"/>
    <w:rsid w:val="00957134"/>
    <w:rsid w:val="00B10684"/>
    <w:rsid w:val="00B12301"/>
    <w:rsid w:val="00B14BE6"/>
    <w:rsid w:val="00D534E2"/>
    <w:rsid w:val="00DB2C6C"/>
    <w:rsid w:val="11A20CDF"/>
    <w:rsid w:val="37173543"/>
    <w:rsid w:val="377C099C"/>
    <w:rsid w:val="3FDC532A"/>
    <w:rsid w:val="3FF76880"/>
    <w:rsid w:val="57A07732"/>
    <w:rsid w:val="61024F26"/>
    <w:rsid w:val="6F9D6B39"/>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240</Words>
  <Characters>1371</Characters>
  <Lines>11</Lines>
  <Paragraphs>3</Paragraphs>
  <TotalTime>0</TotalTime>
  <ScaleCrop>false</ScaleCrop>
  <LinksUpToDate>false</LinksUpToDate>
  <CharactersWithSpaces>1608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郭</cp:lastModifiedBy>
  <cp:lastPrinted>2022-03-24T10:01:00Z</cp:lastPrinted>
  <dcterms:modified xsi:type="dcterms:W3CDTF">2024-05-06T05:43:01Z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