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2022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667"/>
        <w:gridCol w:w="722"/>
        <w:gridCol w:w="1484"/>
        <w:gridCol w:w="594"/>
        <w:gridCol w:w="533"/>
        <w:gridCol w:w="234"/>
        <w:gridCol w:w="1033"/>
        <w:gridCol w:w="878"/>
        <w:gridCol w:w="114"/>
        <w:gridCol w:w="419"/>
        <w:gridCol w:w="285"/>
        <w:gridCol w:w="382"/>
        <w:gridCol w:w="46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项目名称</w:t>
            </w:r>
          </w:p>
        </w:tc>
        <w:tc>
          <w:tcPr>
            <w:tcW w:w="785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特高建设-实训基地-阿里巴巴数字贸易学院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主管部门</w:t>
            </w:r>
          </w:p>
        </w:tc>
        <w:tc>
          <w:tcPr>
            <w:tcW w:w="46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北京一商集团有限责任公司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北京市商业学校（北京祥龙资产经营有限责任公司党校）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项目负责人</w:t>
            </w:r>
          </w:p>
        </w:tc>
        <w:tc>
          <w:tcPr>
            <w:tcW w:w="46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刘冬美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18600408585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（万元）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49.92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47.856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45.62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5.3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9.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1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49.92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47.856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45.62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年度总体目标</w:t>
            </w:r>
          </w:p>
        </w:tc>
        <w:tc>
          <w:tcPr>
            <w:tcW w:w="42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预期目标</w:t>
            </w:r>
          </w:p>
        </w:tc>
        <w:tc>
          <w:tcPr>
            <w:tcW w:w="428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1" w:hRule="exact"/>
          <w:jc w:val="center"/>
        </w:trPr>
        <w:tc>
          <w:tcPr>
            <w:tcW w:w="5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2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1.本年度培养学生不少于292人，其中实习就业学生132人，实现就业率100%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2.优化“3+X”电子商务人才培养方案数量4个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3.坚持教学模式创新，形成混合式教学效果报告1份，论文3篇；撰写云教学数据分析与管理平台绩效报告。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4.组织学生参加技能比赛，完成工学交替企业实践，提升学生综合职业能力和水平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5.培养专兼职教师团队，组织教师参加培训，提升教师的业务水平，教师入企教研实践活动，不少于 60 学时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6.企业专家进校园开设大讲堂不少于6次活动；组织学生社团不少10次活动；学生入企业实践不少于2次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7.开发《新零售场景电商》1门课程标准及活页式教材1本，及配套立体化资源包；新开发《跨境电子商务》《网店数据化运营》企业员工培训包 2 门。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8.组织不少于200人次的社会培训，开发电商谷国际化人才培训课程 2门。开发阿里巴巴生态企业员工能力培训课程 2 门。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9.服务中小微企业技术研发和产品升级数量 10 个；校企共同为企业提供10项技术服务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10.学院的章程和机制定稿，印制成册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11.培养3名职业技能等级证书培训教师。开展校内教师入企教研实践活动，不少于 80 学时。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12.开展技术服务培训2场。代运营服务企业累计10家。为电商谷沿线国家提供咨询、信息服务不少于2次。服务企业任务不少于 100 项。</w:t>
            </w:r>
          </w:p>
        </w:tc>
        <w:tc>
          <w:tcPr>
            <w:tcW w:w="428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1.本年度培养学生不少于586人，其中实习就业学生132人，实现就业率100%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2.优化“3+X”电子商务人才培养方案数量5个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3.坚持教学模式创新，形成混合式教学效果报告1份，论文3篇；撰写云教学数据分析与管理平台绩效报告。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4.组织学生参加技能比赛，完成工学交替企业实践，提升学生综合职业能力和水平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5.培养专兼职教师团队6人，组织教师参加培训，提升教师的业务水平，教师入企教研实践活动，不少于 60 学时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6.企业专家进校园开设大讲堂6次；组织学生社团10次活动；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7.优化开发《新零售场景电商》等3门课程标准及活页式教材1本，及配套立体化资源包；新开发《跨境电子商务》《网店数据化运营》企业员工培训包 2 门。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8.组织不少于200人次的社会培训，开发电商谷国际化人才培训课程 2门。开发阿里巴巴生态企业员工能力培训课程 2 门。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9.服务中小微企业技术研发和产品升级数量 10 个；校企共同为企业提供50项技术服务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10.学院的章程和机制定稿，印制成册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11.培养3名职业技能等级证书培训教师。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12.开展技术服务培训2场。代运营服务企业累计10家。为电商谷沿线国家提供咨询、信息服务不少于2次。服务企业任务不少于 100 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标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一级指标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二级指标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指标值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完成值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产出指标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数量指标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学院培养学生数量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1"/>
                <w:szCs w:val="1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  <w:t>292</w:t>
            </w:r>
            <w:r>
              <w:rPr>
                <w:rStyle w:val="8"/>
                <w:rFonts w:hint="eastAsia" w:ascii="仿宋" w:hAnsi="仿宋" w:eastAsia="仿宋" w:cs="仿宋"/>
                <w:sz w:val="15"/>
                <w:szCs w:val="15"/>
                <w:lang w:bidi="ar"/>
              </w:rPr>
              <w:t>人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  <w:t>586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举办专家讲座，企业大讲堂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1"/>
                <w:szCs w:val="1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  <w:t>6次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  <w:t>6次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校企研讨开发人才培养方案数量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1"/>
                <w:szCs w:val="1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  <w:t>4</w:t>
            </w:r>
            <w:r>
              <w:rPr>
                <w:rStyle w:val="9"/>
                <w:rFonts w:hint="eastAsia" w:ascii="仿宋" w:hAnsi="仿宋" w:eastAsia="仿宋" w:cs="仿宋"/>
                <w:sz w:val="15"/>
                <w:szCs w:val="15"/>
                <w:lang w:bidi="ar"/>
              </w:rPr>
              <w:t>个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  <w:t>5个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教学组织创新数量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1"/>
                <w:szCs w:val="1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  <w:t>3个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  <w:t>3个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培养专兼职教师团队人数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1"/>
                <w:szCs w:val="11"/>
              </w:rPr>
            </w:pPr>
            <w:r>
              <w:rPr>
                <w:rStyle w:val="10"/>
                <w:rFonts w:hint="eastAsia" w:ascii="仿宋" w:hAnsi="仿宋" w:eastAsia="仿宋" w:cs="仿宋"/>
                <w:sz w:val="15"/>
                <w:szCs w:val="15"/>
                <w:lang w:bidi="ar"/>
              </w:rPr>
              <w:t>&gt;=3</w:t>
            </w:r>
            <w:r>
              <w:rPr>
                <w:rStyle w:val="9"/>
                <w:rFonts w:hint="eastAsia" w:ascii="仿宋" w:hAnsi="仿宋" w:eastAsia="仿宋" w:cs="仿宋"/>
                <w:sz w:val="15"/>
                <w:szCs w:val="15"/>
                <w:lang w:bidi="ar"/>
              </w:rPr>
              <w:t>人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  <w:t>6人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为企业提供技术服务数量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00" w:firstLineChars="200"/>
              <w:textAlignment w:val="center"/>
              <w:rPr>
                <w:rFonts w:hint="eastAsia" w:ascii="仿宋" w:hAnsi="仿宋" w:eastAsia="仿宋" w:cs="仿宋"/>
                <w:kern w:val="0"/>
                <w:sz w:val="11"/>
                <w:szCs w:val="1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  <w:t>&gt;=2项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  <w:t>50项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产教融合育人教室、实训室运行率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1"/>
                <w:szCs w:val="1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  <w:t>99%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  <w:t>95%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1.8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  <w:t>疫情原因，居家教学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课程建设数量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1"/>
                <w:szCs w:val="1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  <w:t>5门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  <w:t>5门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企业专家进课堂的课时数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1"/>
                <w:szCs w:val="11"/>
              </w:rPr>
            </w:pPr>
            <w:r>
              <w:rPr>
                <w:rStyle w:val="10"/>
                <w:rFonts w:hint="eastAsia" w:ascii="仿宋" w:hAnsi="仿宋" w:eastAsia="仿宋" w:cs="仿宋"/>
                <w:sz w:val="15"/>
                <w:szCs w:val="15"/>
                <w:lang w:bidi="ar"/>
              </w:rPr>
              <w:t>&gt;=75</w:t>
            </w:r>
            <w:r>
              <w:rPr>
                <w:rStyle w:val="9"/>
                <w:rFonts w:hint="eastAsia" w:ascii="仿宋" w:hAnsi="仿宋" w:eastAsia="仿宋" w:cs="仿宋"/>
                <w:sz w:val="15"/>
                <w:szCs w:val="15"/>
                <w:lang w:bidi="ar"/>
              </w:rPr>
              <w:t>课时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  <w:t>1296学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社会培训次数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1"/>
                <w:szCs w:val="11"/>
              </w:rPr>
            </w:pPr>
            <w:r>
              <w:rPr>
                <w:rStyle w:val="12"/>
                <w:rFonts w:hint="eastAsia" w:ascii="仿宋" w:hAnsi="仿宋" w:eastAsia="仿宋" w:cs="仿宋"/>
                <w:sz w:val="15"/>
                <w:szCs w:val="15"/>
                <w:lang w:bidi="ar"/>
              </w:rPr>
              <w:t>&gt;=4</w:t>
            </w:r>
            <w:r>
              <w:rPr>
                <w:rStyle w:val="11"/>
                <w:rFonts w:hint="eastAsia" w:ascii="仿宋" w:hAnsi="仿宋" w:eastAsia="仿宋" w:cs="仿宋"/>
                <w:sz w:val="15"/>
                <w:szCs w:val="15"/>
                <w:lang w:bidi="ar"/>
              </w:rPr>
              <w:t>次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  <w:t>4次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社会培训人次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1"/>
                <w:szCs w:val="11"/>
              </w:rPr>
            </w:pPr>
            <w:r>
              <w:rPr>
                <w:rStyle w:val="12"/>
                <w:rFonts w:hint="eastAsia" w:ascii="仿宋" w:hAnsi="仿宋" w:eastAsia="仿宋" w:cs="仿宋"/>
                <w:sz w:val="15"/>
                <w:szCs w:val="15"/>
                <w:lang w:bidi="ar"/>
              </w:rPr>
              <w:t>&gt;=100</w:t>
            </w:r>
            <w:r>
              <w:rPr>
                <w:rStyle w:val="11"/>
                <w:rFonts w:hint="eastAsia" w:ascii="仿宋" w:hAnsi="仿宋" w:eastAsia="仿宋" w:cs="仿宋"/>
                <w:sz w:val="15"/>
                <w:szCs w:val="15"/>
                <w:lang w:bidi="ar"/>
              </w:rPr>
              <w:t>人次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  <w:t>200人次次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社会培训天数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1"/>
                <w:szCs w:val="11"/>
              </w:rPr>
            </w:pPr>
            <w:r>
              <w:rPr>
                <w:rStyle w:val="10"/>
                <w:rFonts w:hint="eastAsia" w:ascii="仿宋" w:hAnsi="仿宋" w:eastAsia="仿宋" w:cs="仿宋"/>
                <w:sz w:val="15"/>
                <w:szCs w:val="15"/>
                <w:lang w:bidi="ar"/>
              </w:rPr>
              <w:t>&gt;=4</w:t>
            </w:r>
            <w:r>
              <w:rPr>
                <w:rStyle w:val="9"/>
                <w:rFonts w:hint="eastAsia" w:ascii="仿宋" w:hAnsi="仿宋" w:eastAsia="仿宋" w:cs="仿宋"/>
                <w:sz w:val="15"/>
                <w:szCs w:val="15"/>
                <w:lang w:bidi="ar"/>
              </w:rPr>
              <w:t>天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5"/>
                <w:szCs w:val="15"/>
                <w:lang w:bidi="ar"/>
              </w:rPr>
              <w:t>4天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质量指标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验收合格率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设备正常运转率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&gt;98%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99%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系统正常运行率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&gt;98%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&gt;99%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系统平均无故障时间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1920小时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0"/>
                <w:szCs w:val="1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1920小时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系统故障率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&lt;=5%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3%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故障响应率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&gt;=98%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99%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故障排除率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&gt;=98%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培训参与度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&gt;=98%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99%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培训覆盖率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&gt;=95%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培训合格率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&gt;=98%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培养学生的就业率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培养教师质量提升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&gt;=99%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99%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教师培训通过率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100%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系统故障修复响应时间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&lt;=72小时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48小时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系统运行维护响应时间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&lt;=360分钟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13"/>
                <w:szCs w:val="13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360分钟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进度指标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企业专家进课堂教学实施时间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2022年内完成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完成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社会培训时间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2022年11月前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完成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其他类项目完成进度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2022年11月前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完成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成本指标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项目预算控制数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符合财政要求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教师培训费用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&lt;=550人天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550人天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人均培训成本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&lt;=550人天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550人天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效益指标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提供社会服务收益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提升学院能力和水平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提升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节约维护成本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维护成本在可控范围内容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可控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履职基础、公共服务能力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提升履职和服务能力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提升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社会影响力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扩大影响力和知名度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扩大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培养学生的专业水平和综合素质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在技能大赛中取得优秀成绩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获奖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培养教师业务水平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教师的教科研水平提升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提升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服务对象满意度标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培养学生满意度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val="en-US" w:eastAsia="zh-CN" w:bidi="ar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98%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99%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3"/>
                <w:szCs w:val="13"/>
                <w:lang w:bidi="ar"/>
              </w:rPr>
              <w:t>受训学员满意度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val="en-US" w:eastAsia="zh-CN" w:bidi="ar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98%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bidi="ar"/>
              </w:rPr>
              <w:t>99%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6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9.33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zYmFkY2E3NDQxNWJhYTI2Y2NhNDQ1Y2U1M2JmZTkifQ=="/>
  </w:docVars>
  <w:rsids>
    <w:rsidRoot w:val="F77F09F4"/>
    <w:rsid w:val="00052523"/>
    <w:rsid w:val="00185508"/>
    <w:rsid w:val="00595059"/>
    <w:rsid w:val="00621416"/>
    <w:rsid w:val="00896E4B"/>
    <w:rsid w:val="00A26DBF"/>
    <w:rsid w:val="00B12301"/>
    <w:rsid w:val="00D534E2"/>
    <w:rsid w:val="045F6F60"/>
    <w:rsid w:val="0F5423BA"/>
    <w:rsid w:val="32207918"/>
    <w:rsid w:val="37173543"/>
    <w:rsid w:val="3FF76880"/>
    <w:rsid w:val="48A7553D"/>
    <w:rsid w:val="4E885B2F"/>
    <w:rsid w:val="511B633A"/>
    <w:rsid w:val="61893E98"/>
    <w:rsid w:val="738B3C5C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8">
    <w:name w:val="font1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6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41"/>
    <w:basedOn w:val="6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11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51"/>
    <w:basedOn w:val="6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13">
    <w:name w:val="font31"/>
    <w:basedOn w:val="6"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2184</Words>
  <Characters>2504</Characters>
  <Lines>22</Lines>
  <Paragraphs>6</Paragraphs>
  <TotalTime>1</TotalTime>
  <ScaleCrop>false</ScaleCrop>
  <LinksUpToDate>false</LinksUpToDate>
  <CharactersWithSpaces>2572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2023-05-19T02:58:01Z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A5AADCC5FD1641D4B4AD57D9801E2A9C_12</vt:lpwstr>
  </property>
</Properties>
</file>