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6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281"/>
        <w:gridCol w:w="129"/>
        <w:gridCol w:w="849"/>
        <w:gridCol w:w="848"/>
        <w:gridCol w:w="279"/>
        <w:gridCol w:w="447"/>
        <w:gridCol w:w="257"/>
        <w:gridCol w:w="310"/>
        <w:gridCol w:w="536"/>
        <w:gridCol w:w="1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项目名称</w:t>
            </w:r>
          </w:p>
        </w:tc>
        <w:tc>
          <w:tcPr>
            <w:tcW w:w="807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数字财经实训平台及课程资源购置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实施单位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北京市商业学校(北京祥龙资产经营有限责任公司党校)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李颖超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15810579084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执行率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年度资金总额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379.80万元</w:t>
            </w: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379.8万元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375万元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98.74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9.</w:t>
            </w: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拨款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379.8万元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375万元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98.74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 其他资金</w:t>
            </w:r>
          </w:p>
        </w:tc>
        <w:tc>
          <w:tcPr>
            <w:tcW w:w="12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预期目标</w:t>
            </w:r>
          </w:p>
        </w:tc>
        <w:tc>
          <w:tcPr>
            <w:tcW w:w="39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80" w:firstLineChars="300"/>
              <w:jc w:val="left"/>
              <w:rPr>
                <w:rFonts w:hint="eastAsia" w:ascii="仿宋" w:hAnsi="仿宋" w:eastAsia="仿宋" w:cs="仿宋"/>
                <w:kern w:val="0"/>
                <w:sz w:val="8"/>
                <w:szCs w:val="8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创建北京领先的创新性数字财经高素质技术技能人才培养模式，建立产教融合创新机制，形成数字财经五年一贯制人才培养课程体系，根据产业发展趋势和新业态、新技术，引入企业教学资源，包括财经大数据分析、数字税务、数字财务管理，校企合作开发企业财税共享和金融产业认知课程，建立虚拟仿真课程资源库。引入企业资源案例，形成教师培训和能力提升计划，建立智能财税岗课赛证融合初级阶段，将智能财税初级标准与现有课程内容进行融合，将智能财税1+X证书考核与期末考试进行融合。</w:t>
            </w:r>
          </w:p>
        </w:tc>
        <w:tc>
          <w:tcPr>
            <w:tcW w:w="39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本项目采取公开招投标方式开展，依据项目目标，于2022年11月   完成项目的执行，投入使用。校企合作建成数字财经实训平台，开发数字财经五年一贯制人才培养课程体系，有利支持人才培养。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得分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实践教学平台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支撑实践课程数量与14行合并为一个指标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培养学生数量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校企共建微课资源数量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课证融通课程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X证书通过率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90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制定方案及前期准备工作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完成项目招投标任务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完成建设任务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项目验收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项目预算控制数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379.8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375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>每年可培养120名左右学生；可提供在岗人员职业技能提升社会培训服务；可开展会计专业双师基地的教师培训；可开展横向课题研究；学生经过系统培养后，具备为周边小微企业提供财税服务的能力，可为企业节约人力成本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</w:rPr>
              <w:t xml:space="preserve">可为中小学提供VR职业认知与体验活动场地及平台；可提升人才培养的适应性，实现学生岗位能力与岗位需求匹配度提升60%，避免结构性失业；率先形成五年一贯制高职人才培养创新模式，形成北京示范。 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优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服务学生满意度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95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参训教师满意度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95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95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2.5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提供社会服务满意度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</w:rPr>
              <w:t>90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  <w:t>2.5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highlight w:val="none"/>
                <w:lang w:val="en-US" w:eastAsia="zh-CN"/>
              </w:rPr>
              <w:t>2.5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99.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87</w:t>
            </w:r>
            <w:bookmarkStart w:id="0" w:name="_GoBack"/>
            <w:bookmarkEnd w:id="0"/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27290"/>
    <w:rsid w:val="000C6E9D"/>
    <w:rsid w:val="00126C17"/>
    <w:rsid w:val="00184728"/>
    <w:rsid w:val="00201F64"/>
    <w:rsid w:val="0024768B"/>
    <w:rsid w:val="002755E2"/>
    <w:rsid w:val="002C6A12"/>
    <w:rsid w:val="002D1EB5"/>
    <w:rsid w:val="00390029"/>
    <w:rsid w:val="003F53C4"/>
    <w:rsid w:val="004365BC"/>
    <w:rsid w:val="004B35C9"/>
    <w:rsid w:val="00595059"/>
    <w:rsid w:val="00621416"/>
    <w:rsid w:val="007826FF"/>
    <w:rsid w:val="00852966"/>
    <w:rsid w:val="00896E4B"/>
    <w:rsid w:val="009C5398"/>
    <w:rsid w:val="00A8410A"/>
    <w:rsid w:val="00B12301"/>
    <w:rsid w:val="00B26858"/>
    <w:rsid w:val="00B66342"/>
    <w:rsid w:val="00C2024E"/>
    <w:rsid w:val="00C663BC"/>
    <w:rsid w:val="00CD1292"/>
    <w:rsid w:val="00D317B0"/>
    <w:rsid w:val="00D534E2"/>
    <w:rsid w:val="00DD4E80"/>
    <w:rsid w:val="37173543"/>
    <w:rsid w:val="3D47039F"/>
    <w:rsid w:val="3FF76880"/>
    <w:rsid w:val="799E2FD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1275</Words>
  <Characters>1423</Characters>
  <Lines>12</Lines>
  <Paragraphs>3</Paragraphs>
  <TotalTime>1</TotalTime>
  <ScaleCrop>false</ScaleCrop>
  <LinksUpToDate>false</LinksUpToDate>
  <CharactersWithSpaces>1471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2023-04-19T12:41:00Z</dcterms:created>
  <dc:creator>user</dc:creator>
  <cp:lastModifiedBy>86134</cp:lastModifiedBy>
  <cp:lastPrinted>2022-03-24T10:01:00Z</cp:lastPrinted>
  <dcterms:modified xsi:type="dcterms:W3CDTF">2023-05-18T13:46:39Z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F9E0A07102EF4124A1B465CFDF179E4B_12</vt:lpwstr>
  </property>
</Properties>
</file>