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名称：北京市华夏工艺品商店有限公司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类型：有限责任公司（法人独资）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法定代表人：武立成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经营范围：购销</w:t>
      </w:r>
      <w:r>
        <w:rPr>
          <w:rFonts w:hint="eastAsia"/>
          <w:sz w:val="32"/>
          <w:szCs w:val="32"/>
          <w:lang w:val="en-US" w:eastAsia="zh-CN"/>
        </w:rPr>
        <w:t>工艺美术品、黄金饰品、家具、百货、交电；代销字画；收购家具、旧工艺品；打字、复印；出租商业用房。</w:t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注册资本：987万元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成立日期：1970年12月30日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营业期限：2017年11月22日至 长期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住所：北京市东城区珠市口东大街4号楼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D7438"/>
    <w:rsid w:val="36A417C3"/>
    <w:rsid w:val="38B5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2021-10-12T05:33:25Z</dcterms:created>
  <dc:creator>DUNE</dc:creator>
  <cp:lastModifiedBy>中世纪骑士</cp:lastModifiedBy>
  <dcterms:modified xsi:type="dcterms:W3CDTF">2021-10-12T05:42:48Z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1280791250184B598DCC818C4EE8EC43</vt:lpwstr>
  </property>
</Properties>
</file>