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股份结构：</w:t>
      </w:r>
      <w:r>
        <w:rPr>
          <w:rFonts w:hint="eastAsia"/>
          <w:sz w:val="28"/>
          <w:szCs w:val="28"/>
          <w:lang w:val="en-US" w:eastAsia="zh-CN"/>
        </w:rPr>
        <w:t>天云公司注册资本5086.3075万元，现存法人股108家，其中一商集团为最大股东，持股比率82.51%。自然人股东1005人，占比2.49%。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法人股占比前十分别为：北京市一商集团有限责任公司4170.6688万股，北京西单友谊集团127.776万股，北京市北协建设工程公司53.24万股，北京中联正泰机电公司36.2032万股，石家庄市北方电器有限公司35.1384万股，北京良工房地产开发有限公司28.7496万股，北京市亦庄镇双北股份经济合作社25.5552万股，北京市贸易贸易信托公司21.296万股，平谷县黄松峪乡黄松峪村铸造厂21.296万股，北京市五金机械有限公司21.296万股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3F589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2021-10-12T05:14:53Z</dcterms:created>
  <dc:creator>综合办公室</dc:creator>
  <cp:lastModifiedBy>综合办公室</cp:lastModifiedBy>
  <dcterms:modified xsi:type="dcterms:W3CDTF">2021-10-12T05:15:01Z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